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:</w:t>
      </w:r>
    </w:p>
    <w:p>
      <w:pPr>
        <w:jc w:val="left"/>
        <w:rPr>
          <w:rFonts w:ascii="仿宋_GB2312" w:hAnsi="宋体" w:eastAsia="仿宋_GB2312"/>
          <w:sz w:val="21"/>
          <w:szCs w:val="21"/>
        </w:rPr>
      </w:pPr>
    </w:p>
    <w:p>
      <w:pPr>
        <w:jc w:val="left"/>
        <w:rPr>
          <w:rFonts w:ascii="仿宋_GB2312" w:hAnsi="宋体" w:eastAsia="仿宋_GB2312"/>
          <w:sz w:val="21"/>
          <w:szCs w:val="21"/>
        </w:rPr>
      </w:pPr>
    </w:p>
    <w:p>
      <w:pPr>
        <w:jc w:val="left"/>
        <w:rPr>
          <w:rFonts w:ascii="仿宋_GB2312" w:hAnsi="宋体" w:eastAsia="仿宋_GB2312"/>
          <w:sz w:val="21"/>
          <w:szCs w:val="21"/>
        </w:rPr>
      </w:pPr>
    </w:p>
    <w:p>
      <w:pPr>
        <w:jc w:val="left"/>
        <w:rPr>
          <w:rFonts w:ascii="仿宋_GB2312" w:hAnsi="宋体" w:eastAsia="仿宋_GB2312"/>
          <w:sz w:val="21"/>
          <w:szCs w:val="21"/>
        </w:rPr>
      </w:pPr>
    </w:p>
    <w:p>
      <w:pPr>
        <w:jc w:val="left"/>
        <w:rPr>
          <w:rFonts w:ascii="仿宋_GB2312" w:hAnsi="宋体" w:eastAsia="仿宋_GB2312"/>
          <w:sz w:val="21"/>
          <w:szCs w:val="21"/>
        </w:rPr>
      </w:pPr>
    </w:p>
    <w:p>
      <w:pPr>
        <w:spacing w:beforeLines="100" w:afterLines="10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中央高校改善基本办学条件专项资金</w:t>
      </w:r>
    </w:p>
    <w:p>
      <w:pPr>
        <w:spacing w:beforeLines="100" w:afterLines="10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子 活 动 申 报 书</w:t>
      </w: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ind w:firstLine="960" w:firstLineChars="300"/>
        <w:rPr>
          <w:rFonts w:ascii="仿宋_GB2312" w:hAnsi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子活动名称：</w:t>
      </w:r>
    </w:p>
    <w:p>
      <w:pPr>
        <w:widowControl/>
        <w:ind w:firstLine="960" w:firstLineChars="300"/>
        <w:jc w:val="left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项目</w:t>
      </w:r>
      <w:r>
        <w:rPr>
          <w:rFonts w:ascii="仿宋_GB2312" w:hAnsi="宋体" w:eastAsia="仿宋_GB2312"/>
          <w:sz w:val="32"/>
          <w:szCs w:val="32"/>
        </w:rPr>
        <w:t>名称：</w:t>
      </w:r>
    </w:p>
    <w:p>
      <w:pPr>
        <w:spacing w:line="360" w:lineRule="auto"/>
        <w:ind w:firstLine="960" w:firstLineChars="3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项目单位：西北农林科技大学</w:t>
      </w:r>
    </w:p>
    <w:p>
      <w:pPr>
        <w:spacing w:line="360" w:lineRule="auto"/>
        <w:ind w:firstLine="960" w:firstLineChars="3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主管部门：教育部</w:t>
      </w:r>
    </w:p>
    <w:p>
      <w:pPr>
        <w:spacing w:line="360" w:lineRule="auto"/>
        <w:ind w:firstLine="960" w:firstLineChars="3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申报日期：202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日  </w:t>
      </w:r>
    </w:p>
    <w:p>
      <w:pPr>
        <w:spacing w:line="360" w:lineRule="auto"/>
        <w:rPr>
          <w:rFonts w:ascii="仿宋_GB2312" w:hAnsi="宋体" w:eastAsia="仿宋_GB2312"/>
          <w:szCs w:val="32"/>
        </w:rPr>
      </w:pPr>
    </w:p>
    <w:p>
      <w:pPr>
        <w:spacing w:line="360" w:lineRule="auto"/>
        <w:rPr>
          <w:rFonts w:ascii="仿宋_GB2312" w:hAnsi="宋体" w:eastAsia="仿宋_GB2312"/>
          <w:szCs w:val="32"/>
        </w:rPr>
      </w:pPr>
    </w:p>
    <w:p>
      <w:pPr>
        <w:spacing w:line="360" w:lineRule="auto"/>
        <w:rPr>
          <w:rFonts w:ascii="仿宋_GB2312" w:hAnsi="宋体" w:eastAsia="仿宋_GB2312"/>
          <w:szCs w:val="32"/>
        </w:rPr>
      </w:pPr>
    </w:p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子 活 动 申 报 书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1854"/>
        <w:gridCol w:w="2112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子活动名称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2022年度部分场站基础设施维修改造项目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项目编码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实施地址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西北农林科技大学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部分场站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负责人姓名</w:t>
            </w:r>
          </w:p>
        </w:tc>
        <w:tc>
          <w:tcPr>
            <w:tcW w:w="1854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朱荣科</w:t>
            </w:r>
          </w:p>
        </w:tc>
        <w:tc>
          <w:tcPr>
            <w:tcW w:w="2112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项目负责人电话</w:t>
            </w:r>
          </w:p>
        </w:tc>
        <w:tc>
          <w:tcPr>
            <w:tcW w:w="2701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029-87082302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房屋修缮、基础设施改造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</w:t>
            </w:r>
            <w:r>
              <w:rPr>
                <w:rFonts w:ascii="宋体" w:hAnsi="宋体" w:eastAsia="宋体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类别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1.安防</w:t>
            </w:r>
            <w:r>
              <w:rPr>
                <w:rFonts w:hint="eastAsia" w:ascii="宋体" w:hAnsi="宋体" w:eastAsia="宋体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2.消防□      3.防雷□     4.教室修缮</w:t>
            </w:r>
            <w:r>
              <w:rPr>
                <w:rFonts w:hint="eastAsia" w:ascii="宋体" w:hAnsi="宋体" w:eastAsia="宋体"/>
                <w:sz w:val="21"/>
                <w:szCs w:val="21"/>
              </w:rPr>
              <w:sym w:font="Wingdings 2" w:char="0052"/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5.学生宿舍修缮</w:t>
            </w:r>
            <w:r>
              <w:rPr>
                <w:rFonts w:hint="eastAsia" w:ascii="宋体" w:hAnsi="宋体" w:eastAsia="宋体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6.食堂修缮</w:t>
            </w:r>
            <w:r>
              <w:rPr>
                <w:rFonts w:hint="eastAsia" w:ascii="宋体" w:hAnsi="宋体" w:eastAsia="宋体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7.图书馆修缮□  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8.体育馆修缮□       9.地下管网综合改造□ 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10.校园艺术演出场地修缮及相关设备购置□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11.古建修缮□        12.电力增容□         13.供暖锅炉改造</w:t>
            </w:r>
            <w:r>
              <w:rPr>
                <w:rFonts w:hint="eastAsia" w:ascii="宋体" w:hAnsi="宋体" w:eastAsia="宋体"/>
                <w:sz w:val="21"/>
                <w:szCs w:val="21"/>
              </w:rPr>
              <w:sym w:font="Wingdings 2" w:char="0052"/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14.校园信息化建设</w:t>
            </w:r>
            <w:r>
              <w:rPr>
                <w:rFonts w:hint="eastAsia" w:ascii="宋体" w:hAnsi="宋体" w:eastAsia="宋体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15.教学实验室改造□  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16.教学实验室设备购置□                    17.其他</w:t>
            </w:r>
            <w:r>
              <w:rPr>
                <w:rFonts w:hint="eastAsia" w:ascii="宋体" w:hAnsi="宋体" w:eastAsia="宋体"/>
                <w:sz w:val="21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0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子活动描述</w:t>
            </w:r>
          </w:p>
        </w:tc>
        <w:tc>
          <w:tcPr>
            <w:tcW w:w="6667" w:type="dxa"/>
            <w:gridSpan w:val="3"/>
          </w:tcPr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ind w:left="4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9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子活动实施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必要性</w:t>
            </w:r>
            <w:r>
              <w:rPr>
                <w:rFonts w:ascii="宋体" w:hAnsi="宋体" w:eastAsia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可行性分析</w:t>
            </w:r>
          </w:p>
        </w:tc>
        <w:tc>
          <w:tcPr>
            <w:tcW w:w="6667" w:type="dxa"/>
            <w:gridSpan w:val="3"/>
          </w:tcPr>
          <w:p>
            <w:pPr>
              <w:ind w:firstLine="422" w:firstLineChars="20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ind w:firstLine="422" w:firstLineChars="20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必要性：</w:t>
            </w:r>
          </w:p>
          <w:p>
            <w:pPr>
              <w:ind w:firstLine="422" w:firstLineChars="20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可行性：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2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子活动实施条件</w:t>
            </w:r>
          </w:p>
        </w:tc>
        <w:tc>
          <w:tcPr>
            <w:tcW w:w="6667" w:type="dxa"/>
            <w:gridSpan w:val="3"/>
          </w:tcPr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ind w:left="-3" w:firstLine="420" w:firstLineChars="20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7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子活动实施主要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内容及相关预算</w:t>
            </w:r>
          </w:p>
        </w:tc>
        <w:tc>
          <w:tcPr>
            <w:tcW w:w="6667" w:type="dxa"/>
            <w:gridSpan w:val="3"/>
          </w:tcPr>
          <w:p>
            <w:pPr>
              <w:ind w:left="-16" w:firstLine="420" w:firstLineChars="20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5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子活动进度与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计划安排</w:t>
            </w:r>
          </w:p>
        </w:tc>
        <w:tc>
          <w:tcPr>
            <w:tcW w:w="6667" w:type="dxa"/>
            <w:gridSpan w:val="3"/>
          </w:tcPr>
          <w:p>
            <w:pPr>
              <w:spacing w:line="240" w:lineRule="auto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第一阶段：</w:t>
            </w:r>
          </w:p>
          <w:p>
            <w:pPr>
              <w:spacing w:line="240" w:lineRule="auto"/>
              <w:ind w:left="1042" w:leftChars="-3" w:hanging="1048" w:hangingChars="497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第二阶段：</w:t>
            </w:r>
          </w:p>
          <w:p>
            <w:pPr>
              <w:spacing w:line="24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第三阶段：</w:t>
            </w:r>
          </w:p>
          <w:p>
            <w:pPr>
              <w:spacing w:line="24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第四阶段：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6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子活动风险与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不确定性分析</w:t>
            </w:r>
          </w:p>
        </w:tc>
        <w:tc>
          <w:tcPr>
            <w:tcW w:w="6667" w:type="dxa"/>
            <w:gridSpan w:val="3"/>
          </w:tcPr>
          <w:p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1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预期经济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社会效益</w:t>
            </w:r>
          </w:p>
        </w:tc>
        <w:tc>
          <w:tcPr>
            <w:tcW w:w="6667" w:type="dxa"/>
            <w:gridSpan w:val="3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beforeLines="50" w:afterLines="50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子活动支出预算明细表</w:t>
      </w:r>
    </w:p>
    <w:p>
      <w:pPr>
        <w:spacing w:before="100" w:beforeAutospacing="1" w:afterLines="50"/>
        <w:jc w:val="righ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                    单位：万元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5203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before="100" w:beforeAutospacing="1" w:afterLines="50"/>
              <w:jc w:val="center"/>
              <w:rPr>
                <w:rFonts w:ascii="宋体" w:hAnsi="宋体" w:eastAsia="宋体"/>
                <w:sz w:val="26"/>
                <w:szCs w:val="26"/>
              </w:rPr>
            </w:pPr>
            <w:r>
              <w:rPr>
                <w:rFonts w:hint="eastAsia" w:ascii="宋体" w:hAnsi="宋体" w:eastAsia="宋体"/>
                <w:sz w:val="26"/>
                <w:szCs w:val="26"/>
              </w:rPr>
              <w:t>子活</w:t>
            </w:r>
            <w:r>
              <w:rPr>
                <w:rFonts w:ascii="宋体" w:hAnsi="宋体" w:eastAsia="宋体"/>
                <w:sz w:val="26"/>
                <w:szCs w:val="26"/>
              </w:rPr>
              <w:t>动</w:t>
            </w:r>
            <w:r>
              <w:rPr>
                <w:rFonts w:hint="eastAsia" w:ascii="宋体" w:hAnsi="宋体" w:eastAsia="宋体"/>
                <w:sz w:val="26"/>
                <w:szCs w:val="26"/>
              </w:rPr>
              <w:t>支出预算及测算依据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before="100" w:beforeAutospacing="1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</w:t>
            </w:r>
            <w:r>
              <w:rPr>
                <w:rFonts w:ascii="宋体" w:hAnsi="宋体" w:eastAsia="宋体"/>
                <w:sz w:val="21"/>
                <w:szCs w:val="21"/>
              </w:rPr>
              <w:t>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支出明细预算</w:t>
            </w:r>
          </w:p>
        </w:tc>
        <w:tc>
          <w:tcPr>
            <w:tcW w:w="52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明细支出项目</w:t>
            </w:r>
          </w:p>
        </w:tc>
        <w:tc>
          <w:tcPr>
            <w:tcW w:w="2131" w:type="dxa"/>
            <w:vAlign w:val="center"/>
          </w:tcPr>
          <w:p>
            <w:pPr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  计</w:t>
            </w:r>
          </w:p>
        </w:tc>
        <w:tc>
          <w:tcPr>
            <w:tcW w:w="2131" w:type="dxa"/>
            <w:vAlign w:val="center"/>
          </w:tcPr>
          <w:p>
            <w:pPr>
              <w:spacing w:before="100" w:beforeAutospacing="1" w:afterLines="50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before="100" w:beforeAutospacing="1" w:afterLines="50"/>
              <w:jc w:val="righ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before="100" w:beforeAutospacing="1" w:afterLines="50"/>
              <w:jc w:val="righ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before="100" w:beforeAutospacing="1" w:afterLines="50"/>
              <w:jc w:val="righ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before="100" w:beforeAutospacing="1" w:afterLines="50"/>
              <w:jc w:val="righ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before="100" w:beforeAutospacing="1" w:afterLines="50"/>
              <w:jc w:val="righ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before="100" w:beforeAutospacing="1" w:afterLines="50"/>
              <w:jc w:val="righ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before="100" w:beforeAutospacing="1" w:afterLines="50"/>
              <w:jc w:val="righ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before="100" w:beforeAutospacing="1" w:afterLines="50"/>
              <w:jc w:val="righ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>
            <w:pPr>
              <w:jc w:val="left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before="100" w:beforeAutospacing="1" w:afterLines="50"/>
              <w:jc w:val="righ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before="100" w:beforeAutospacing="1" w:afterLines="50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before="100" w:beforeAutospacing="1" w:afterLines="50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before="100" w:beforeAutospacing="1" w:afterLines="50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before="100" w:beforeAutospacing="1" w:afterLines="50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before="100" w:beforeAutospacing="1" w:afterLines="50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before="100" w:beforeAutospacing="1" w:afterLines="50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0" w:hRule="atLeast"/>
        </w:trPr>
        <w:tc>
          <w:tcPr>
            <w:tcW w:w="648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before="100" w:beforeAutospacing="1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测算依据及说明</w:t>
            </w:r>
          </w:p>
        </w:tc>
        <w:tc>
          <w:tcPr>
            <w:tcW w:w="73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学校委托专业设计单位对此项目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维修方案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进行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了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现场调研，在调研的基础上，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完成了费用估算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ind w:firstLine="420" w:firstLineChars="200"/>
              <w:jc w:val="both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依据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2009年《陕西省建筑装饰市政园林绿化工程价目表》、2009年《陕西省安装工程价目表》、《工程量清单计价费率》、陕建发【201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号文件编制结算，主要材料按市场调研价计入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ascii="宋体" w:hAnsi="宋体" w:eastAsia="宋体"/>
                <w:sz w:val="21"/>
                <w:szCs w:val="21"/>
              </w:rPr>
              <w:t>不能套用上述规则计算的，套用2001年《全国统一房屋修缮工程预算定额陕西省价目表》及配套的取费文件编制工程结算。</w:t>
            </w:r>
          </w:p>
        </w:tc>
      </w:tr>
    </w:tbl>
    <w:p>
      <w:pPr>
        <w:ind w:right="480"/>
        <w:rPr>
          <w:b/>
          <w:bCs/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附件：</w:t>
      </w:r>
      <w:r>
        <w:rPr>
          <w:rFonts w:hint="eastAsia"/>
          <w:b/>
          <w:bCs/>
          <w:sz w:val="24"/>
          <w:szCs w:val="24"/>
        </w:rPr>
        <w:t>项目</w:t>
      </w:r>
      <w:r>
        <w:rPr>
          <w:rFonts w:hint="eastAsia" w:ascii="仿宋" w:hAnsi="仿宋" w:cs="仿宋"/>
          <w:b/>
          <w:bCs/>
          <w:sz w:val="24"/>
          <w:szCs w:val="24"/>
        </w:rPr>
        <w:t>估算</w:t>
      </w:r>
      <w:r>
        <w:rPr>
          <w:rFonts w:hint="eastAsia"/>
          <w:b/>
          <w:bCs/>
          <w:sz w:val="24"/>
          <w:szCs w:val="24"/>
        </w:rPr>
        <w:t>表</w:t>
      </w:r>
    </w:p>
    <w:p>
      <w:pPr>
        <w:ind w:right="480"/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page" w:tblpX="1795" w:tblpY="51"/>
        <w:tblOverlap w:val="never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352"/>
        <w:gridCol w:w="755"/>
        <w:gridCol w:w="556"/>
        <w:gridCol w:w="745"/>
        <w:gridCol w:w="1805"/>
        <w:gridCol w:w="181"/>
        <w:gridCol w:w="1215"/>
        <w:gridCol w:w="1067"/>
        <w:gridCol w:w="227"/>
        <w:gridCol w:w="234"/>
        <w:gridCol w:w="227"/>
        <w:gridCol w:w="2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5000" w:type="pct"/>
            <w:gridSpan w:val="13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sz w:val="21"/>
              </w:rPr>
              <w:br w:type="page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 xml:space="preserve">附件6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子活动支出绩效目标申报表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5000" w:type="pct"/>
            <w:gridSpan w:val="13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年度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exact"/>
        </w:trPr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496" w:type="pct"/>
            <w:gridSpan w:val="2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445" w:type="pct"/>
            <w:gridSpan w:val="3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33" w:type="pct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37" w:type="pct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33" w:type="pct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46" w:type="pct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15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子活动名称</w:t>
            </w:r>
          </w:p>
        </w:tc>
        <w:tc>
          <w:tcPr>
            <w:tcW w:w="3490" w:type="pct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509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主管部门及代码</w:t>
            </w:r>
          </w:p>
        </w:tc>
        <w:tc>
          <w:tcPr>
            <w:tcW w:w="14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>教育部105</w:t>
            </w:r>
          </w:p>
        </w:tc>
        <w:tc>
          <w:tcPr>
            <w:tcW w:w="8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117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>西北农林科技大学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15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子活动类别</w:t>
            </w:r>
          </w:p>
        </w:tc>
        <w:tc>
          <w:tcPr>
            <w:tcW w:w="14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8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子活动周期</w:t>
            </w:r>
          </w:p>
        </w:tc>
        <w:tc>
          <w:tcPr>
            <w:tcW w:w="117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09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子活动金额（万元）</w:t>
            </w:r>
          </w:p>
        </w:tc>
        <w:tc>
          <w:tcPr>
            <w:tcW w:w="3490" w:type="pct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eastAsia="宋体"/>
                <w:sz w:val="21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exact"/>
        </w:trPr>
        <w:tc>
          <w:tcPr>
            <w:tcW w:w="1509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3490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总体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目标</w:t>
            </w:r>
          </w:p>
        </w:tc>
        <w:tc>
          <w:tcPr>
            <w:tcW w:w="4466" w:type="pct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目标1：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目标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目标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4466" w:type="pct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</w:trPr>
        <w:tc>
          <w:tcPr>
            <w:tcW w:w="5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1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88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</w:trPr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650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产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6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1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指标1：</w:t>
            </w:r>
          </w:p>
        </w:tc>
        <w:tc>
          <w:tcPr>
            <w:tcW w:w="188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both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65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76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指标2：资金量</w:t>
            </w:r>
          </w:p>
        </w:tc>
        <w:tc>
          <w:tcPr>
            <w:tcW w:w="188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both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65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76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ind w:firstLine="105" w:firstLineChars="50"/>
              <w:jc w:val="both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指标3：</w:t>
            </w:r>
          </w:p>
        </w:tc>
        <w:tc>
          <w:tcPr>
            <w:tcW w:w="188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both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65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76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1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指标1：质量</w:t>
            </w:r>
          </w:p>
        </w:tc>
        <w:tc>
          <w:tcPr>
            <w:tcW w:w="188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both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65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76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188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both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65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76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88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both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65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76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1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指标1：完成时间</w:t>
            </w:r>
          </w:p>
        </w:tc>
        <w:tc>
          <w:tcPr>
            <w:tcW w:w="188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both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65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76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188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both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65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76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88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both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65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76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1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指标1：资金用量</w:t>
            </w:r>
          </w:p>
        </w:tc>
        <w:tc>
          <w:tcPr>
            <w:tcW w:w="188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both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65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76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188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both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65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76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88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both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650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6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经济效益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1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指标1：资金花费</w:t>
            </w:r>
          </w:p>
        </w:tc>
        <w:tc>
          <w:tcPr>
            <w:tcW w:w="188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both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65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76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188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both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65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76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88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both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65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76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社会效益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1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指标1：社会效益</w:t>
            </w:r>
          </w:p>
        </w:tc>
        <w:tc>
          <w:tcPr>
            <w:tcW w:w="188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both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65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76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188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both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65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76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生态效益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1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指标1：环保性</w:t>
            </w:r>
          </w:p>
        </w:tc>
        <w:tc>
          <w:tcPr>
            <w:tcW w:w="188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both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65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76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188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both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65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76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88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both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65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76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可持续影响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1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指标1：使用年限</w:t>
            </w:r>
          </w:p>
        </w:tc>
        <w:tc>
          <w:tcPr>
            <w:tcW w:w="188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both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65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76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188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both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650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76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服务对象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满意度指标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指标1：师生满意度</w:t>
            </w:r>
          </w:p>
        </w:tc>
        <w:tc>
          <w:tcPr>
            <w:tcW w:w="188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both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65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762" w:type="pct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both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188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both"/>
              <w:rPr>
                <w:rFonts w:ascii="Calibri" w:hAnsi="Calibri" w:eastAsia="宋体"/>
                <w:sz w:val="21"/>
                <w:szCs w:val="21"/>
              </w:rPr>
            </w:pPr>
          </w:p>
        </w:tc>
      </w:tr>
    </w:tbl>
    <w:p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C56F7"/>
    <w:rsid w:val="09225236"/>
    <w:rsid w:val="29D26405"/>
    <w:rsid w:val="2ABC56F7"/>
    <w:rsid w:val="3F757964"/>
    <w:rsid w:val="58D05810"/>
    <w:rsid w:val="69F3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qFormat/>
    <w:uiPriority w:val="99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1500</Words>
  <Characters>1607</Characters>
  <Lines>0</Lines>
  <Paragraphs>0</Paragraphs>
  <TotalTime>5</TotalTime>
  <ScaleCrop>false</ScaleCrop>
  <LinksUpToDate>false</LinksUpToDate>
  <CharactersWithSpaces>1812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2022-03-31T07:34:00Z</dcterms:created>
  <dc:creator>李昀</dc:creator>
  <cp:lastModifiedBy>熊猫蓓蓓（西农博览园）</cp:lastModifiedBy>
  <dcterms:modified xsi:type="dcterms:W3CDTF">2022-04-06T10:04:19Z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64EDE6E962C64D77B74D62ACB2D8E1DD</vt:lpwstr>
  </property>
</Properties>
</file>